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D8" w:rsidRDefault="00325CD8" w:rsidP="00325CD8">
      <w:pPr>
        <w:jc w:val="center"/>
      </w:pPr>
      <w:r>
        <w:rPr>
          <w:noProof/>
          <w:lang w:eastAsia="pt-BR"/>
        </w:rPr>
        <w:drawing>
          <wp:inline distT="0" distB="0" distL="0" distR="0" wp14:anchorId="6B79B431" wp14:editId="37029C9C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CD8" w:rsidRDefault="00325CD8" w:rsidP="00325CD8">
      <w:pPr>
        <w:jc w:val="center"/>
      </w:pPr>
    </w:p>
    <w:p w:rsidR="00325CD8" w:rsidRDefault="00325CD8" w:rsidP="00325CD8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325CD8" w:rsidRDefault="00325CD8" w:rsidP="00325CD8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25CD8" w:rsidRPr="002378C1" w:rsidRDefault="00325CD8" w:rsidP="00325CD8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325CD8" w:rsidRDefault="00325CD8" w:rsidP="00325CD8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325CD8" w:rsidRDefault="00325CD8" w:rsidP="00325CD8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PROVIMENTO CGJ nº 12/2016</w:t>
      </w:r>
    </w:p>
    <w:p w:rsidR="00325CD8" w:rsidRDefault="00325CD8" w:rsidP="00325CD8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25CD8" w:rsidRDefault="00325CD8" w:rsidP="00325CD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A4C83">
        <w:rPr>
          <w:b/>
          <w:noProof/>
          <w:lang w:eastAsia="pt-BR"/>
        </w:rPr>
        <w:t>Regulamenta as alterações introduzidas a Lei 3.350/1999, pela Lei Estadual nº 7.128/2015 e altera a Portaria CGJ nº 4.593/2015, que atualizou as Tabelas de Emolumentos para o ano de 2016.</w:t>
      </w:r>
    </w:p>
    <w:p w:rsidR="00B6439C" w:rsidRDefault="00B6439C" w:rsidP="00325CD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0" w:name="_GoBack"/>
      <w:bookmarkEnd w:id="0"/>
    </w:p>
    <w:p w:rsidR="00B6439C" w:rsidRPr="009676AB" w:rsidRDefault="00B6439C" w:rsidP="00B6439C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 xml:space="preserve">Tabela 07 (Tabela 22 </w:t>
      </w:r>
      <w:r w:rsidRPr="009676AB">
        <w:rPr>
          <w:rFonts w:cs="Arial"/>
          <w:b/>
          <w:szCs w:val="18"/>
        </w:rPr>
        <w:noBreakHyphen/>
        <w:t xml:space="preserve"> Lei 6370/12)</w:t>
      </w:r>
    </w:p>
    <w:p w:rsidR="00B6439C" w:rsidRPr="009676AB" w:rsidRDefault="00B6439C" w:rsidP="00B6439C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>DOS OFÍCIOS E ATOS DE NOTAS</w:t>
      </w:r>
    </w:p>
    <w:p w:rsidR="00B6439C" w:rsidRPr="009676AB" w:rsidRDefault="00B6439C" w:rsidP="00B6439C">
      <w:pPr>
        <w:jc w:val="center"/>
        <w:rPr>
          <w:rFonts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1281"/>
        <w:gridCol w:w="1279"/>
        <w:gridCol w:w="1068"/>
      </w:tblGrid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</w:t>
            </w:r>
          </w:p>
        </w:tc>
        <w:tc>
          <w:tcPr>
            <w:tcW w:w="752" w:type="pct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R$</w:t>
            </w:r>
          </w:p>
        </w:tc>
        <w:tc>
          <w:tcPr>
            <w:tcW w:w="751" w:type="pct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 gratuitos e PMCMV (2%)</w:t>
            </w:r>
          </w:p>
        </w:tc>
        <w:tc>
          <w:tcPr>
            <w:tcW w:w="627" w:type="pct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TOTAL</w:t>
            </w:r>
          </w:p>
        </w:tc>
      </w:tr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 xml:space="preserve">8 </w:t>
            </w:r>
            <w:r w:rsidRPr="009676AB">
              <w:rPr>
                <w:rFonts w:cs="Arial"/>
                <w:szCs w:val="18"/>
              </w:rPr>
              <w:noBreakHyphen/>
              <w:t xml:space="preserve"> Homologação de penhor legal:</w:t>
            </w:r>
          </w:p>
        </w:tc>
        <w:tc>
          <w:tcPr>
            <w:tcW w:w="752" w:type="pct"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</w:p>
        </w:tc>
        <w:tc>
          <w:tcPr>
            <w:tcW w:w="751" w:type="pct"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</w:p>
        </w:tc>
        <w:tc>
          <w:tcPr>
            <w:tcW w:w="627" w:type="pct"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</w:p>
        </w:tc>
      </w:tr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a) Pelo processamento</w:t>
            </w:r>
          </w:p>
        </w:tc>
        <w:tc>
          <w:tcPr>
            <w:tcW w:w="752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151,51</w:t>
            </w:r>
          </w:p>
        </w:tc>
        <w:tc>
          <w:tcPr>
            <w:tcW w:w="751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3,03</w:t>
            </w:r>
          </w:p>
        </w:tc>
        <w:tc>
          <w:tcPr>
            <w:tcW w:w="627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154,54</w:t>
            </w:r>
          </w:p>
        </w:tc>
      </w:tr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b) Por notifica</w:t>
            </w:r>
            <w:r w:rsidRPr="009676AB">
              <w:rPr>
                <w:rFonts w:ascii="Arial" w:cs="Arial"/>
                <w:szCs w:val="18"/>
              </w:rPr>
              <w:t>çã</w:t>
            </w:r>
            <w:r w:rsidRPr="009676AB">
              <w:rPr>
                <w:rFonts w:cs="Arial"/>
                <w:szCs w:val="18"/>
              </w:rPr>
              <w:t>o/intimação</w:t>
            </w:r>
          </w:p>
        </w:tc>
        <w:tc>
          <w:tcPr>
            <w:tcW w:w="752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27,78</w:t>
            </w:r>
          </w:p>
        </w:tc>
        <w:tc>
          <w:tcPr>
            <w:tcW w:w="751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0,55</w:t>
            </w:r>
          </w:p>
        </w:tc>
        <w:tc>
          <w:tcPr>
            <w:tcW w:w="627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28,33</w:t>
            </w:r>
          </w:p>
        </w:tc>
      </w:tr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c) Pela confecção de Edital</w:t>
            </w:r>
          </w:p>
        </w:tc>
        <w:tc>
          <w:tcPr>
            <w:tcW w:w="752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27,78</w:t>
            </w:r>
          </w:p>
        </w:tc>
        <w:tc>
          <w:tcPr>
            <w:tcW w:w="751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0,55</w:t>
            </w:r>
          </w:p>
        </w:tc>
        <w:tc>
          <w:tcPr>
            <w:tcW w:w="627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28,33</w:t>
            </w:r>
          </w:p>
        </w:tc>
      </w:tr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d) Pela escritura de formalização do penhor legal</w:t>
            </w:r>
          </w:p>
        </w:tc>
        <w:tc>
          <w:tcPr>
            <w:tcW w:w="752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90,72</w:t>
            </w:r>
          </w:p>
        </w:tc>
        <w:tc>
          <w:tcPr>
            <w:tcW w:w="751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1,81</w:t>
            </w:r>
          </w:p>
        </w:tc>
        <w:tc>
          <w:tcPr>
            <w:tcW w:w="627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92,53</w:t>
            </w:r>
          </w:p>
        </w:tc>
      </w:tr>
      <w:tr w:rsidR="00B6439C" w:rsidRPr="009676AB" w:rsidTr="00622429">
        <w:trPr>
          <w:trHeight w:val="57"/>
        </w:trPr>
        <w:tc>
          <w:tcPr>
            <w:tcW w:w="2870" w:type="pct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 xml:space="preserve">9 </w:t>
            </w:r>
            <w:r w:rsidRPr="009676AB">
              <w:rPr>
                <w:rFonts w:cs="Arial"/>
                <w:szCs w:val="18"/>
              </w:rPr>
              <w:noBreakHyphen/>
              <w:t xml:space="preserve"> Materialização de documento eletrônico por página.</w:t>
            </w:r>
          </w:p>
        </w:tc>
        <w:tc>
          <w:tcPr>
            <w:tcW w:w="752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10,18</w:t>
            </w:r>
          </w:p>
        </w:tc>
        <w:tc>
          <w:tcPr>
            <w:tcW w:w="751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0,20</w:t>
            </w:r>
          </w:p>
        </w:tc>
        <w:tc>
          <w:tcPr>
            <w:tcW w:w="627" w:type="pct"/>
            <w:vAlign w:val="center"/>
            <w:hideMark/>
          </w:tcPr>
          <w:p w:rsidR="00B6439C" w:rsidRPr="009676AB" w:rsidRDefault="00B6439C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10,38</w:t>
            </w:r>
          </w:p>
        </w:tc>
      </w:tr>
      <w:tr w:rsidR="00B6439C" w:rsidRPr="009676AB" w:rsidTr="00622429">
        <w:trPr>
          <w:trHeight w:val="57"/>
        </w:trPr>
        <w:tc>
          <w:tcPr>
            <w:tcW w:w="5000" w:type="pct"/>
            <w:gridSpan w:val="4"/>
            <w:hideMark/>
          </w:tcPr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NOTAS INTEGRANTES:</w:t>
            </w:r>
          </w:p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27)</w:t>
            </w:r>
            <w:proofErr w:type="gramEnd"/>
            <w:r w:rsidRPr="009676AB">
              <w:rPr>
                <w:rFonts w:cs="Arial"/>
                <w:szCs w:val="18"/>
              </w:rPr>
              <w:t xml:space="preserve"> A cobrança dos emolumentos pela prática do ato previsto no item nº. </w:t>
            </w:r>
            <w:proofErr w:type="gramStart"/>
            <w:r w:rsidRPr="009676AB">
              <w:rPr>
                <w:rFonts w:cs="Arial"/>
                <w:szCs w:val="18"/>
              </w:rPr>
              <w:t>9</w:t>
            </w:r>
            <w:proofErr w:type="gramEnd"/>
            <w:r w:rsidRPr="009676AB">
              <w:rPr>
                <w:rFonts w:cs="Arial"/>
                <w:szCs w:val="18"/>
              </w:rPr>
              <w:t>, somente poderá ocorrer após a regulamentação da matéria pela Corregedoria Geral da Justiça.</w:t>
            </w:r>
          </w:p>
          <w:p w:rsidR="00B6439C" w:rsidRPr="009676AB" w:rsidRDefault="00B6439C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28)</w:t>
            </w:r>
            <w:proofErr w:type="gramEnd"/>
            <w:r w:rsidRPr="009676AB">
              <w:rPr>
                <w:rFonts w:cs="Arial"/>
                <w:szCs w:val="18"/>
              </w:rPr>
              <w:t xml:space="preserve"> O serviço de materialização previsto no item 9, não substitui nem se confunde com o serviço de materialização de certidões, documentos e de atos procedimentais prestado pelos registradores civis das pessoas naturais, inclusive em maternidades e em ações sociais.</w:t>
            </w:r>
          </w:p>
        </w:tc>
      </w:tr>
    </w:tbl>
    <w:p w:rsidR="00325CD8" w:rsidRDefault="00325CD8"/>
    <w:sectPr w:rsidR="00325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8"/>
    <w:rsid w:val="000C59BC"/>
    <w:rsid w:val="00325CD8"/>
    <w:rsid w:val="00345FB6"/>
    <w:rsid w:val="00870EAE"/>
    <w:rsid w:val="00B6439C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2016-03-07T18:25:00Z</dcterms:created>
  <dcterms:modified xsi:type="dcterms:W3CDTF">2016-03-07T18:25:00Z</dcterms:modified>
</cp:coreProperties>
</file>